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24" w:rsidRDefault="00924224" w:rsidP="00C85C76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D079A8" w:rsidRDefault="00D079A8" w:rsidP="00C85C76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Приложение № 2 </w:t>
      </w: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 Документации о закупке</w:t>
      </w: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A82347" w:rsidRDefault="00A82347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t xml:space="preserve">                                                                    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26B19" w:rsidRDefault="00C26B19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</w:p>
    <w:p w:rsidR="001E462D" w:rsidRPr="001E462D" w:rsidRDefault="001E462D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b/>
          <w:sz w:val="28"/>
          <w:szCs w:val="28"/>
        </w:rPr>
      </w:pPr>
    </w:p>
    <w:p w:rsidR="0091559E" w:rsidRDefault="00D33421" w:rsidP="000B153B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 w:rsidRPr="001E462D">
        <w:rPr>
          <w:b/>
          <w:sz w:val="28"/>
          <w:szCs w:val="28"/>
        </w:rPr>
        <w:t>Техническое з</w:t>
      </w:r>
      <w:r w:rsidR="001E462D">
        <w:rPr>
          <w:b/>
          <w:sz w:val="28"/>
          <w:szCs w:val="28"/>
        </w:rPr>
        <w:t xml:space="preserve">адание </w:t>
      </w:r>
    </w:p>
    <w:p w:rsidR="00EC64E5" w:rsidRPr="001E462D" w:rsidRDefault="000B153B" w:rsidP="000B153B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кровельных работ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Pr="007C5254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194"/>
        <w:gridCol w:w="241"/>
        <w:gridCol w:w="1122"/>
        <w:gridCol w:w="4508"/>
      </w:tblGrid>
      <w:tr w:rsidR="00EB6B74" w:rsidTr="00510FC7">
        <w:trPr>
          <w:gridAfter w:val="2"/>
          <w:wAfter w:w="5630" w:type="dxa"/>
          <w:trHeight w:val="695"/>
        </w:trPr>
        <w:tc>
          <w:tcPr>
            <w:tcW w:w="4194" w:type="dxa"/>
            <w:vMerge w:val="restart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EB6B74" w:rsidTr="00510FC7">
        <w:trPr>
          <w:gridAfter w:val="2"/>
          <w:wAfter w:w="5630" w:type="dxa"/>
          <w:trHeight w:val="378"/>
        </w:trPr>
        <w:tc>
          <w:tcPr>
            <w:tcW w:w="4194" w:type="dxa"/>
            <w:vMerge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1756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A8705F">
            <w:pPr>
              <w:spacing w:before="120" w:after="120" w:line="276" w:lineRule="auto"/>
              <w:ind w:firstLine="709"/>
              <w:rPr>
                <w:sz w:val="28"/>
                <w:szCs w:val="28"/>
              </w:rPr>
            </w:pPr>
            <w:r w:rsidRPr="00C85C76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33421" w:rsidRDefault="00D33421" w:rsidP="00A8705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 w:val="restart"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785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B279B0" w:rsidRDefault="00B279B0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0B1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9A8" w:rsidRPr="000B153B" w:rsidRDefault="00D079A8" w:rsidP="000B153B">
      <w:pPr>
        <w:widowControl w:val="0"/>
        <w:autoSpaceDE w:val="0"/>
        <w:autoSpaceDN w:val="0"/>
        <w:adjustRightInd w:val="0"/>
        <w:jc w:val="center"/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/>
          <w:bCs/>
        </w:rPr>
        <w:t>1. Цель и назначение работы.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Цель - выполнение </w:t>
      </w:r>
      <w:r w:rsidRPr="000B153B">
        <w:rPr>
          <w:bCs/>
        </w:rPr>
        <w:t xml:space="preserve">работ </w:t>
      </w:r>
      <w:r w:rsidRPr="000B153B">
        <w:t xml:space="preserve">по ремонту кровли </w:t>
      </w:r>
      <w:r w:rsidRPr="000B153B">
        <w:rPr>
          <w:color w:val="FFFF00"/>
        </w:rPr>
        <w:t xml:space="preserve"> </w:t>
      </w:r>
      <w:r w:rsidRPr="000B153B">
        <w:t>блока А</w:t>
      </w:r>
      <w:r w:rsidRPr="000B153B">
        <w:rPr>
          <w:color w:val="FFFF00"/>
        </w:rPr>
        <w:t xml:space="preserve">  </w:t>
      </w:r>
      <w:r w:rsidRPr="000B153B">
        <w:rPr>
          <w:color w:val="000000"/>
        </w:rPr>
        <w:t>здания АО «НПЦ «Вигстар»</w:t>
      </w:r>
      <w:r w:rsidRPr="000B153B">
        <w:t>, расположенному  по адресу: г. Москва, 1-й Дорожный проезд, д. 8.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/>
          <w:bCs/>
        </w:rPr>
        <w:t>2. Обязательные требования.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>Правила и порядок выполнения и приемки работ должны проводитьс</w:t>
      </w:r>
      <w:r w:rsidR="00177395">
        <w:rPr>
          <w:bCs/>
        </w:rPr>
        <w:t>я в соответствии с ГОСТ и СНиП, на основании Рабочего проекта «Реконструкция кровли блока «А» нежилого здания АО «НПЦ «Вигстар» по адресу г. Москва, 1-й Дорожный проезд, д.8», разработанного Архитектурным бюро «ФронТон» по договору № 12 от 30.06.2016 г. (Приложение №1 к Техническому заданию).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>В связи с тем, что во время проведения ремонтных работ в здании работают сотрудники заказчика, демонтаж производить без применения виброинструментов, виброустановок и т.д..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 Вынос мусора осуществлять с применением подъемников, лифтов либо специального оборудования, не вызывающего распространение пыли и шума. Подрядчику запрещается использовать внутренние лифты и лестницы здания для выноса мусора и передвижения рабочих.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>Подрядная организация перед началом и во время работ обязана иметь на объекте легковозводимую, сборную, надежную конструкцию для укрывания ремонтируемой части кровли, чтобы  исключить протекание кровли в производственные и офисные помещения здания. В случае протекания ремонтируемой кровли на подрядчика будет возложена обязанность по устранению последствий протекания, а также восстановление работоспособности оборудования (демонтаж и монтаж оборудования, отключение и подключение оборудования, пусконаладочные работы).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Подрядчик не имеет право использовать помещения заказчика для личного использования, приема пищи сотрудниками подрядчика и для хранения оборудования.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>Режим работы подрядной организации с 9.00 до 18.00 в рабочие дни.</w:t>
      </w:r>
    </w:p>
    <w:p w:rsidR="000B153B" w:rsidRPr="000B153B" w:rsidRDefault="000B153B" w:rsidP="000B153B">
      <w:pPr>
        <w:ind w:firstLine="709"/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(период) выполнения работ:</w:t>
      </w:r>
    </w:p>
    <w:p w:rsidR="000B153B" w:rsidRPr="000B153B" w:rsidRDefault="000B153B" w:rsidP="000B153B">
      <w:pPr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начала выполнения работ – в течение 5 (пяти)</w:t>
      </w:r>
      <w:r w:rsidRPr="000B153B">
        <w:rPr>
          <w:rFonts w:eastAsia="Arial Unicode MS"/>
          <w:lang w:eastAsia="en-US"/>
        </w:rPr>
        <w:t xml:space="preserve"> рабочих дней </w:t>
      </w:r>
      <w:r w:rsidRPr="000B153B">
        <w:rPr>
          <w:rFonts w:eastAsia="Calibri"/>
          <w:lang w:eastAsia="en-US"/>
        </w:rPr>
        <w:t>с даты заключения настоящего ДОГОВОРА.</w:t>
      </w:r>
    </w:p>
    <w:p w:rsidR="000B153B" w:rsidRPr="000B153B" w:rsidRDefault="000B153B" w:rsidP="000B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окончания выполнения работ – в течение 60 (шестьдесят)</w:t>
      </w:r>
      <w:r w:rsidRPr="000B153B">
        <w:rPr>
          <w:rFonts w:eastAsia="Arial Unicode MS"/>
          <w:lang w:eastAsia="en-US"/>
        </w:rPr>
        <w:t xml:space="preserve"> рабочих дней с даты начала выполнения работ по </w:t>
      </w:r>
      <w:r w:rsidRPr="000B153B">
        <w:rPr>
          <w:rFonts w:eastAsia="Arial Unicode MS"/>
          <w:lang w:val="x-none" w:eastAsia="en-US"/>
        </w:rPr>
        <w:t>настояще</w:t>
      </w:r>
      <w:r w:rsidRPr="000B153B">
        <w:rPr>
          <w:rFonts w:eastAsia="Arial Unicode MS"/>
          <w:lang w:eastAsia="en-US"/>
        </w:rPr>
        <w:t>му</w:t>
      </w:r>
      <w:r w:rsidRPr="000B153B">
        <w:rPr>
          <w:rFonts w:eastAsia="Arial Unicode MS"/>
          <w:lang w:val="x-none" w:eastAsia="en-US"/>
        </w:rPr>
        <w:t xml:space="preserve"> ДОГОВОР</w:t>
      </w:r>
      <w:r w:rsidRPr="000B153B">
        <w:rPr>
          <w:rFonts w:eastAsia="Arial Unicode MS"/>
          <w:lang w:eastAsia="en-US"/>
        </w:rPr>
        <w:t>У</w:t>
      </w:r>
      <w:r w:rsidRPr="000B153B">
        <w:rPr>
          <w:rFonts w:eastAsia="Calibri"/>
          <w:lang w:eastAsia="en-US"/>
        </w:rPr>
        <w:t>.</w:t>
      </w:r>
    </w:p>
    <w:p w:rsidR="000B153B" w:rsidRPr="000B153B" w:rsidRDefault="000B153B" w:rsidP="000B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/>
          <w:bCs/>
        </w:rPr>
        <w:t>3. Виды выполняемых работ.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3.1    </w:t>
      </w:r>
      <w:r w:rsidRPr="000B153B">
        <w:rPr>
          <w:color w:val="000000"/>
        </w:rPr>
        <w:t xml:space="preserve">Разборка покрытий кровли из рулонных материалов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3.2.   </w:t>
      </w:r>
      <w:r w:rsidRPr="000B153B">
        <w:rPr>
          <w:color w:val="000000"/>
        </w:rPr>
        <w:t xml:space="preserve">Демонтаж выравнивающей стяжки песчанно-цементной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3.3    </w:t>
      </w:r>
      <w:r w:rsidRPr="000B153B">
        <w:rPr>
          <w:color w:val="000000"/>
        </w:rPr>
        <w:t>Демонтаж засыпки из керамзита</w:t>
      </w:r>
    </w:p>
    <w:p w:rsidR="000B153B" w:rsidRPr="000B153B" w:rsidRDefault="000B153B" w:rsidP="000B153B">
      <w:pPr>
        <w:contextualSpacing/>
        <w:jc w:val="both"/>
        <w:rPr>
          <w:color w:val="000000"/>
        </w:rPr>
      </w:pPr>
      <w:r w:rsidRPr="000B153B">
        <w:rPr>
          <w:color w:val="000000"/>
        </w:rPr>
        <w:t>3.4    Демонтаж  воронок дождеприемных</w:t>
      </w:r>
    </w:p>
    <w:p w:rsidR="000B153B" w:rsidRPr="000B153B" w:rsidRDefault="000B153B" w:rsidP="000B153B">
      <w:pPr>
        <w:widowControl w:val="0"/>
        <w:tabs>
          <w:tab w:val="left" w:pos="565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3.5    Разборка мелких покрытий и обделок из листовой стали, поясков, сандриков,                     желобов, отливов, свесов и т.д.Демонтаж  дверей металлических</w:t>
      </w:r>
      <w:r w:rsidRPr="000B153B">
        <w:rPr>
          <w:color w:val="000000"/>
        </w:rPr>
        <w:tab/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3.6     </w:t>
      </w:r>
      <w:r w:rsidRPr="000B153B">
        <w:rPr>
          <w:color w:val="000000"/>
        </w:rPr>
        <w:t>Восстановление швов между плитами перекрытия цементно-песчаным раствором и битумной обмазкой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3.7     </w:t>
      </w:r>
      <w:r w:rsidRPr="000B153B">
        <w:rPr>
          <w:color w:val="000000"/>
        </w:rPr>
        <w:t>Демонтаж существующих вент. установок на кровле (весом до 50кг)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3.8     </w:t>
      </w:r>
      <w:r w:rsidRPr="000B153B">
        <w:rPr>
          <w:color w:val="000000"/>
        </w:rPr>
        <w:t>Устройство пароизоляции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3.9     </w:t>
      </w:r>
      <w:r w:rsidRPr="000B153B">
        <w:rPr>
          <w:color w:val="000000"/>
        </w:rPr>
        <w:t>Устройство утеплителя плитного (Пеноплекс Кровля 35-110мм)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3.10   </w:t>
      </w:r>
      <w:r w:rsidRPr="000B153B">
        <w:rPr>
          <w:color w:val="000000"/>
        </w:rPr>
        <w:t>Устройство уклонообразующего слоя из керамзита М-400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3.11   </w:t>
      </w:r>
      <w:r w:rsidRPr="000B153B">
        <w:rPr>
          <w:color w:val="000000"/>
        </w:rPr>
        <w:t>Устройство выравнивающих стяжек цементно-песчанных  средняя толщина 60мм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3.12   Устройство выравнивающих стяжек цементно-песчанных  средняя толщина 60мм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3.13    Огрунтовка праймером битумным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3.14     Устройство кровель плоских из наплавленного материала в два слоя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3.15     Устройство поясов, сандриков из оцинкованной стали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3.16     Устройство прижимной стенки под воздуховодом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3.17     Монтаж водоприемных воронок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3.18     Устройство аэраторов кровельных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lastRenderedPageBreak/>
        <w:t>3.19     Демонтаж лестницы на кровлю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3.20     Изготовление и монтаж лестницы на кровлю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3.21     Демонтаж металлического ограждения кровли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3.22     Устройство металлического ограждения кровли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3.23     Покрытие металлоконструкций грунтовкой ГФ-021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3.24     Покрытие металлоконструкций эмалью ПФ-115 в два слоя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color w:val="000000"/>
        </w:rPr>
        <w:t xml:space="preserve">     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Cs/>
        </w:rPr>
        <w:t xml:space="preserve">                                     </w:t>
      </w:r>
      <w:r w:rsidRPr="000B153B">
        <w:rPr>
          <w:b/>
          <w:bCs/>
        </w:rPr>
        <w:t>Вывоз мусора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3.25   </w:t>
      </w:r>
      <w:r w:rsidRPr="000B153B">
        <w:rPr>
          <w:color w:val="000000"/>
        </w:rPr>
        <w:t>Очистка от строительного мусора и вывоз на расстояние до 50 км.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/>
          <w:bCs/>
        </w:rPr>
        <w:t>4. Ведомость объёмов работ.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tbl>
      <w:tblPr>
        <w:tblW w:w="10235" w:type="dxa"/>
        <w:tblInd w:w="-601" w:type="dxa"/>
        <w:tblLook w:val="04A0" w:firstRow="1" w:lastRow="0" w:firstColumn="1" w:lastColumn="0" w:noHBand="0" w:noVBand="1"/>
      </w:tblPr>
      <w:tblGrid>
        <w:gridCol w:w="1008"/>
        <w:gridCol w:w="6647"/>
        <w:gridCol w:w="1200"/>
        <w:gridCol w:w="1380"/>
      </w:tblGrid>
      <w:tr w:rsidR="000B153B" w:rsidRPr="000B153B" w:rsidTr="005F3A21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16"/>
              <w:contextualSpacing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№ пп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Наименование работ и затрат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Ед.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Кол-во единиц</w:t>
            </w:r>
          </w:p>
        </w:tc>
      </w:tr>
      <w:tr w:rsidR="000B153B" w:rsidRPr="000B153B" w:rsidTr="005F3A21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108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4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 xml:space="preserve">                                             Блок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Разборка покрытий кровли из рулонных материалов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Демонтаж выравнивающей стяжки песчанно-цементной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100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засыпки из керамзита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145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 воронок дождеприемных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Разборка мелких покрытий и обделок из листовой стали, поясков, сандриков, желобов, отливов, свесов и т.д.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136</w:t>
            </w:r>
          </w:p>
        </w:tc>
      </w:tr>
      <w:tr w:rsidR="000B153B" w:rsidRPr="000B153B" w:rsidTr="005F3A21">
        <w:trPr>
          <w:trHeight w:val="7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Восстановление швов между плитами перекрытия цементно-песчаным раствором и битумной обмазкой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70</w:t>
            </w:r>
          </w:p>
        </w:tc>
      </w:tr>
      <w:tr w:rsidR="000B153B" w:rsidRPr="000B153B" w:rsidTr="005F3A21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существующих вент. установок на кровле (весом до 50кг)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</w:t>
            </w:r>
          </w:p>
        </w:tc>
      </w:tr>
      <w:tr w:rsidR="000B153B" w:rsidRPr="000B153B" w:rsidTr="005F3A21">
        <w:trPr>
          <w:trHeight w:val="7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пароизоляции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утеплителя плитного (Пеноплекс Кровля 35-110мм)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5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уклонообразующего слоя из керамзита М-400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116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выравнивающих стяжек цементно-песчанных  средняя толщина 60мм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Армирование сеткой сварной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Огрунтовка праймером битумным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кровель плоских из наплавленного материала в два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поясов, сандриков из оцинкованной стали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136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прижимной стенки под воздуховодом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0,8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Монтаж водоприемных воронок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аэраторов кровельных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лестницы на кровлю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Изготовление и монтаж лестницы на кровлю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металлического ограждения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133,6</w:t>
            </w:r>
          </w:p>
        </w:tc>
      </w:tr>
      <w:tr w:rsidR="000B153B" w:rsidRPr="000B153B" w:rsidTr="005F3A21">
        <w:trPr>
          <w:trHeight w:val="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металлического ограждения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133,6</w:t>
            </w:r>
          </w:p>
        </w:tc>
      </w:tr>
      <w:tr w:rsidR="000B153B" w:rsidRPr="000B153B" w:rsidTr="005F3A21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lastRenderedPageBreak/>
              <w:t>23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Покрытие металлоконструкций грунтовкой ГФ-021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112</w:t>
            </w:r>
          </w:p>
        </w:tc>
      </w:tr>
      <w:tr w:rsidR="000B153B" w:rsidRPr="000B153B" w:rsidTr="005F3A21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Покрытие металлоконструкций эмалью ПФ-115 в два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Очистка  от строительного мусора и вывоз на расстояние до 50км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226</w:t>
            </w:r>
          </w:p>
        </w:tc>
      </w:tr>
    </w:tbl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0B153B">
        <w:rPr>
          <w:b/>
          <w:bCs/>
        </w:rPr>
        <w:t>5. Материалы, оборудование (изделия, конструкции), применяемые при выполнении работ.</w:t>
      </w:r>
    </w:p>
    <w:tbl>
      <w:tblPr>
        <w:tblW w:w="529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1936"/>
        <w:gridCol w:w="4789"/>
        <w:gridCol w:w="1875"/>
        <w:gridCol w:w="1508"/>
      </w:tblGrid>
      <w:tr w:rsidR="000B153B" w:rsidRPr="000B153B" w:rsidTr="000B153B">
        <w:trPr>
          <w:trHeight w:val="57"/>
        </w:trPr>
        <w:tc>
          <w:tcPr>
            <w:tcW w:w="422" w:type="pct"/>
            <w:vAlign w:val="center"/>
          </w:tcPr>
          <w:p w:rsidR="000B153B" w:rsidRPr="000B153B" w:rsidRDefault="000B153B" w:rsidP="000B1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№ п/п</w:t>
            </w:r>
          </w:p>
        </w:tc>
        <w:tc>
          <w:tcPr>
            <w:tcW w:w="877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2" w:firstLine="4"/>
              <w:contextualSpacing/>
              <w:jc w:val="center"/>
            </w:pPr>
            <w:r w:rsidRPr="000B153B">
              <w:rPr>
                <w:b/>
              </w:rPr>
              <w:t>Наименование материала</w:t>
            </w:r>
          </w:p>
        </w:tc>
        <w:tc>
          <w:tcPr>
            <w:tcW w:w="2169" w:type="pct"/>
            <w:vAlign w:val="center"/>
          </w:tcPr>
          <w:p w:rsidR="000B153B" w:rsidRPr="000B153B" w:rsidRDefault="000B153B" w:rsidP="000B153B">
            <w:pPr>
              <w:widowControl w:val="0"/>
              <w:tabs>
                <w:tab w:val="left" w:pos="4538"/>
                <w:tab w:val="left" w:pos="5955"/>
              </w:tabs>
              <w:autoSpaceDE w:val="0"/>
              <w:autoSpaceDN w:val="0"/>
              <w:adjustRightInd w:val="0"/>
              <w:spacing w:line="240" w:lineRule="exact"/>
              <w:ind w:right="34" w:firstLine="7"/>
              <w:contextualSpacing/>
              <w:jc w:val="center"/>
            </w:pPr>
            <w:r w:rsidRPr="000B153B">
              <w:rPr>
                <w:b/>
              </w:rPr>
              <w:t>Требуемые параметры</w:t>
            </w:r>
          </w:p>
        </w:tc>
        <w:tc>
          <w:tcPr>
            <w:tcW w:w="849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Предложение участника.</w:t>
            </w:r>
          </w:p>
          <w:p w:rsidR="000B153B" w:rsidRPr="000B153B" w:rsidRDefault="000B153B" w:rsidP="000B1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firstLine="119"/>
              <w:contextualSpacing/>
              <w:jc w:val="center"/>
            </w:pPr>
            <w:r w:rsidRPr="000B153B">
              <w:rPr>
                <w:b/>
              </w:rPr>
              <w:t>Технические и функциональные характеристики применяемых материалов</w:t>
            </w:r>
          </w:p>
        </w:tc>
        <w:tc>
          <w:tcPr>
            <w:tcW w:w="683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ind w:left="-49" w:right="-94" w:hanging="83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Сведения о сертификации</w:t>
            </w:r>
          </w:p>
        </w:tc>
      </w:tr>
      <w:tr w:rsidR="000B153B" w:rsidRPr="000B153B" w:rsidTr="000B153B">
        <w:trPr>
          <w:trHeight w:val="5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Кровельный гидроизоляционный наплавляемый материал, верхний слой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Водопоглощение в течение 24 ч, % по массе, не более-1;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Масса вяжущего с наплавляемой стороны, кг/кв.м., не менее-2;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Масса, кг./кв.м. не менее-5,5;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Разрывная сила при растяжении в продольном /поперечном направлении, Н, не менее на полиэфире 600/400 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Температура гибкости на брусе R=25мм, оС, не выше-25;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гибкости на брусе R=10 мм, оС, не выше-25;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хрупкости вяжущего, оС, не выше-35;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Водонепроницаемость при давлении не менее 0,2 МПа, в течение 2 часов- абсолютная; длина/ ширина,м -10*1;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Тип покрытия верх песок низ пленка.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right"/>
            </w:pPr>
          </w:p>
        </w:tc>
      </w:tr>
      <w:tr w:rsidR="000B153B" w:rsidRPr="000B153B" w:rsidTr="00AD5BAF">
        <w:trPr>
          <w:trHeight w:val="3518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2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 xml:space="preserve">Кровельный гидроизоляционный наплавляемый материал, нижний слой 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contextualSpacing/>
              <w:jc w:val="both"/>
            </w:pP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Толщина (±0,1), мм- 4,0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Масса 1 м2, кг, (±0,25 кг) -4,95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Разрывная сила в продольном/поперечном направлении, Н, не менее – ПОЛИЭФИР 600/400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Температура гибкости на брусе R=25 мм и R=10 мм, °С, не выше-20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Теплостойкость, °С, не менее- 100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Тип защитного покрытия  - верхняя сторона пленка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Наплавляемая сторона пленка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>Длина / ширина, м- 10х1 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AD5BAF">
        <w:trPr>
          <w:trHeight w:val="2162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lastRenderedPageBreak/>
              <w:t>3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Стяжка выравнивающая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Прочность на сжатие 15 МПа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Жизнеспособность раствора 45 мин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Максимальная крупность частиц песка до 1.2 мм Допустимая температура воздуха при использовании +5 … +10 оС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Количество воды на 1 кг 0.16 - 0.19 литров 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Расход при толщине слоя 10 мм – 18-22 кг/м2 Морозостойкость 50 циклов 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1688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4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Праймер бутумный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Наличие неоднородностей и посторонних включений- нет;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Время высыхания нанесённого слоя при 20 °C, час, не более- 12;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Массовая доля нелетучих веществ, %, не менее – 35-40;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размягчения °C, не ниже- 80;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Условная вязкость, °С в пределах-10-35.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5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Сетка сварная в картах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Сетка должна быть с размером ячейки 100-100, диаметр 6мм, размеры карт 2м-6м, вес 1м2  - 4,44 кг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6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Покрытия обделки из листовой оцинкованной стали: пояса, сандрики, желоба, отливы и т.д.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Марки стали должна быть с химическим составом по ГОСТ 9045-80, а также ГОСТ 1050-74 с содержанием серы не более 0,035% и фосфора - не более 0,20% и ГОСТ 380-71 с массовой долей серы не более 0,035% и фосфора - не более 0,025%.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7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Гидроизоляционный материал от протекания жидкости в помещения здания.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Массовая доля не летучих веществ 49-51%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ГОСТ 31939-2012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Динамическая вязкость при температуре                   19-21гр.цельсия  90-120 мПаС  ГОСТ  25271-93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Плотность при темп.  18-22 гр.цельсия  не более    0,97-0,99 кгл ГОСТ 31992.1-2012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8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Утеплитель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Коэффициент теплопроводности 0,03 Вт/м·ºК  водопоглощение (не более 0,2 – 0,4 % по объему за 24 часа)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  Коэффициент паропроницаемости 0,007-0,008              мг/м·ч·Па)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Нетоксичен, не подвержен гниению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Температурный диапазон эксплуатации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(-50…+75ºС).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AD5BAF">
        <w:trPr>
          <w:trHeight w:val="80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Металл ограждений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 ГОСТ 2590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 ГОСТ 8509-93, марки Ст3сп, категории 2:-88,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Краска масленая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Согласно ГОСТ 10503-71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Кирпич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Размер 250-120-65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Вес 3,4-3,5 кг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Водопоглощение 9-11%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Морозостойкость от F25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Прочность М-150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53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lastRenderedPageBreak/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Пароизоляция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Согласно СНИП 23-01-99 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Масса 1м2\кг (+-0,25) =3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Разрывная сила в продольном\поперечном направлении, Н, не менее: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Стеклоткань – 800\900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Температура гибкости на брусе R-25 не выше 85С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Керамзит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Марка по испытанной насыпаемой  плотности  кг\м3     380-400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</w:tbl>
    <w:p w:rsidR="000B153B" w:rsidRPr="000B153B" w:rsidRDefault="00AD5BAF" w:rsidP="00AD5BAF">
      <w:pPr>
        <w:tabs>
          <w:tab w:val="left" w:pos="3870"/>
        </w:tabs>
        <w:contextualSpacing/>
        <w:rPr>
          <w:b/>
          <w:bCs/>
        </w:rPr>
      </w:pPr>
      <w:r>
        <w:rPr>
          <w:b/>
          <w:bCs/>
        </w:rPr>
        <w:tab/>
      </w: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6. Требования к контролю качества при производстве работ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 Требования к контролю качества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6.1.1. Контроль качества выполненных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6.1.2. Производственный контроль качества строительно-ремонтных работ должен включать входной контроль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 Производство работ необходимо осуществлять в полном соответствии нормативным документам по безопасному выполнению строительных работ. Безопасность выполнения работ и безопасность результатов работ соответствует требованиям СНИП 21-01-97 «Пожарная безопасность зданий и сооружений», постановлением главного государственного санитарного врача РФ от 28.11.2003г. №44 «О введении в действие санитарно-эпидемиологических правил и нормативов СанПиН 2.4.1178-02»: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6.1.3.1. СНиП 3.01.01 – 85 «Организация строительного производства»;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6.1.3.2. СНиП 2.01.02 – 85 «Противопожарные нормы»;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6.1.3.3. СНиП 12-03-2001 «Безопасность труда в строительстве. Часть 1. Общие требования»;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6.1.3.4. СНиП 12-04-2002 «Безопасность труда в строительстве. Часть 2. Строительное производство»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6.1.3.5. ГОСТ 12.1.019 – 79 ССБТ. «Электробезопасность. Общие требования».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Приемка работ производится согласно требованиям: СНиП (Строительные Нормы и Правила), ТУ (Технические Условия), нормативных актов, стандартов, ГОСТов (Государственных Общесоюзных Стандартов).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при контроле соответствующих видов работ должны применяться современные средства измерения и приборы неразрушающего и лабораторного контроля, прошедшие поверку в установленном порядке.</w:t>
      </w:r>
    </w:p>
    <w:p w:rsidR="000B153B" w:rsidRPr="000B153B" w:rsidRDefault="000B153B" w:rsidP="000B153B">
      <w:pPr>
        <w:contextualSpacing/>
        <w:jc w:val="both"/>
        <w:rPr>
          <w:b/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7. Требования, предъявляемые к материалам и исполнителю работ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 Требования к материалам.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7.1.1. Наличие сертификатов на используемые материалы.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7.1.2. Должны применяться сырье и материалы, соответствующие требованиям государственных стандартов и ТУ на них. Применяемые сырье и материалы должны быть стойкими к воздействию механических и климатических факторов, обеспечивать необходимую антикоррозийную стойкость в условиях эксплуатации. Все применяемые материалы и устройства должны удовлетворять требованиям безопасности и технической эстетики.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7.2. Общие требования к Подрядчику.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7.2.1. Подрядчик обязан выполнить работы своими материалами, силами и средствами, в соответствии с техническим заданием, строительными нормами, правилами, стандартами, а также иными нормативно-правовыми документами, действующими на территории РФ;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lastRenderedPageBreak/>
        <w:t>7.2.2. До начала производства работ Подрядчик должен представить Заказчику списки своего персонала и автотранспорта для оформления пропусков на проход (проезд) на территорию Объекта.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 Общие требования к организации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7.3.1. Подрядчик до начала производства работ должен предоставить Заказчику приказ о назначении Представителя Подрядчика, ответственного за проведение работ на Объекте;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7.3.2. Подрядчик должен обеспечить наличие постоянного достаточного количества инженерного состава, технического персонала и рабочих требуемых специальностей на объекте;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7.3.3. Подрядчик должен производить поставку материалов на объект только по согласованию с Заказчиком и в количестве необходимом для обеспечения работы не более трех смен;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7.3.4. Складирование и размещение строительного мусора на объекте не допускается. Строительный мусор необходимо вывозить с объекта непосредственно после проведения демонтажных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8. Требования по соблюдению безопасности при выполнении работ и нахождении на объекте</w:t>
      </w:r>
    </w:p>
    <w:p w:rsidR="000B153B" w:rsidRPr="000B153B" w:rsidRDefault="000B153B" w:rsidP="000B153B">
      <w:pPr>
        <w:contextualSpacing/>
        <w:jc w:val="both"/>
      </w:pPr>
      <w:r w:rsidRPr="000B153B">
        <w:rPr>
          <w:bCs/>
        </w:rPr>
        <w:t>8.1. Все 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  Вся полнота ответственности, при выполнении работ на объекте, за соблюдением норм и правил по технике безопасности и пожарной безопасности возлагается на Подрядчика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8.2. 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«О нормативных правовых актах, содержащих государственные нормативные требования охраны труда»: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строительные нормы и правила, своды правил по проектированию и строительству;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межотраслевые и отраслевые правила, типовые инструкции по охране труда, утвержденные в установленном порядке федеральными органами исполнительной власти;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государственные стандарты системы стандартов безопасности труда, утвержденные соответствующими органами Российской Федерации;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правила безопасности, правила устройства и безопасной эксплуатации, инструкции по безопасности;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8.3. При производстве строительно-монтажных работ строго соблюдать ППБ-01-03 «Правила пожарной безопасности при производстве строительно-монтажных работ в Российской Федерации», НПБ 104-03 «Системы оповещения и управления эвакуацией людей при пожарах в зданиях и сооружениях».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8.4. Организация строительной площадки должна обеспечивать безопасность труда работающих на всех этапах производства работ.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Безопасность выполняемых работ обеспечивается согласно: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 Федеральному закону от РФ от 30.12.2001 N 197-ФЗ;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Федеральному закону от 21.12.1994 г. №69-ФЗ «О пожарной безопасности»;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12.1.004 -91 ССБТ «Пожарная безопасность. Общие требования»;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 СНиП 2.04.09 -84 «Пожарная автоматика зданий и сооружений»;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СНиП 21-01 -97* «Пожарная безопасность зданий и сооружений»;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СНиП 12-03-2001 «Безопасность труда в строительстве. Часть первая. Общие требования»;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lastRenderedPageBreak/>
        <w:t>-  ПУЭ-99 «Правила устройства электроустановок»;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СНиП 2.08.01-89 «Жилые здания»;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Р ИСО 9001-2001 (ISO 9001:2000);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Р 12.0.006-2002 (OHASAS 18001).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 Мероприятия по охране труда.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8.5.1.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устройства), в соответствии с действующими нормами.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8.5.2. Организация строительной площадки при проведении на ней работ должна обеспечивать безопасность труда работников на всех этапах выполнения работ. Рабочие места в вечернее время должны быть освещены по установленным нормам.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8.6. Мероприятия по предотвращению аварийных ситуаций.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8.6.1.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8.6.2.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0B153B" w:rsidRPr="000B153B" w:rsidRDefault="000B153B" w:rsidP="000B153B">
      <w:pPr>
        <w:contextualSpacing/>
        <w:jc w:val="both"/>
        <w:rPr>
          <w:b/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 xml:space="preserve">9. Прочие требования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9.1.Подрядчик обязан осуществить выполнение работ в последовательности, установленной нормативами и правилами для данного вида работ с соблюдением технологического процесса.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9.2. Заказчиком совместно с Подрядчиком оформляются акт передачи строительной площадки в производство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9.3.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Договора материалов и оборудования до сдачи готового объекта в эксплуатацию.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9.4.Организация производства работ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9.5. Подрядная организация, выполняющая работы должны обеспечивать объект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 в сроки, согласованные с Заказчиком.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9.6. Гигиенические сертификаты (для отечественных материалов, оборудования) должны содержать нормативную или техническую документацию на оборудование и материалы (технические условия, технологические инструкции, др.); краткое описание способа и области применения оборудования, материалов; протоколы испытаний оборудования, материалов; другие документы, подтверждающие безопасность оборудования, материалов.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9.7. Для материалов и оборудования иностранного производства должны быть представлены документы фирмы-изготовителя, подтверждающие качество материалов, оборудования, выданные уполномоченными на то органами, и/или сертификат (подтверждение) фирмы-производителя, другие материалы, полученные в стране-изготовителе и подтверждающие безопасность материалов и оборудования, применяемых Подрядчиком в строительстве; протоколы испытаний; технические условия изготовления материалов (оборудования) с указанием условий применения (использования) или другие нормативные и технические документы о составе и условиях применения. Документы должны быть представлены на русском языке и надлежащим образом заверены.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9.8. 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</w:t>
      </w:r>
      <w:r w:rsidRPr="000B153B">
        <w:rPr>
          <w:bCs/>
        </w:rPr>
        <w:lastRenderedPageBreak/>
        <w:t>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9.9.Для проверки соответствия качества выполненных работ требованиям, установленным Договором, Заказчик вправе привлекать независимых экспертов.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9.10. Технология и методы производства работ должны быть в полном соответствии со сметной документацией, техническим заданием, стандартами, строительными нормами и правилами и иными действующими на территории Российской Федерации нормативно-правовыми актами.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9.11. Подрядчик должен предусмотреть дополнительные работы, затраты, которые могут потребоваться в ходе выполнения работ для соблюдения требований Технического задания.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9.12. Работы должны производиться только в отведенной зоне работ, минимально необходимым количеством технических средств и механизмов для сокращения шума, пыли, загрязнения воздуха. После окончания работ производится ликвидация рабочей зоны, уборка мусора, материалов, разборка ограждений.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9.13. Руководство ремонтными работами должно быть поручено инженерно-техническому работнику, аттестованному по правилам техники безопасности.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9.14. На объекте должен вестись журнал проверки техники безопасности и охраны труда.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9.15. Если законом, иными правовыми актами или в установленном ими порядке предусмотрены обязательные требования к работе, выполняемой по Договору, Подрядчик, обязан выполнять работу, соблюдая эти требования.</w:t>
      </w:r>
    </w:p>
    <w:p w:rsidR="000B153B" w:rsidRDefault="000B153B" w:rsidP="000B153B">
      <w:pPr>
        <w:spacing w:after="200" w:line="276" w:lineRule="auto"/>
        <w:rPr>
          <w:rFonts w:eastAsia="Calibri"/>
          <w:iCs/>
          <w:lang w:eastAsia="en-US"/>
        </w:rPr>
      </w:pPr>
    </w:p>
    <w:p w:rsidR="002A2C4C" w:rsidRPr="007918A4" w:rsidRDefault="002A2C4C" w:rsidP="00B629AC">
      <w:pPr>
        <w:contextualSpacing/>
        <w:jc w:val="both"/>
        <w:rPr>
          <w:bCs/>
        </w:rPr>
      </w:pPr>
      <w:r w:rsidRPr="007918A4">
        <w:rPr>
          <w:bCs/>
        </w:rPr>
        <w:t xml:space="preserve">Приложение: </w:t>
      </w:r>
      <w:bookmarkStart w:id="0" w:name="_GoBack"/>
      <w:bookmarkEnd w:id="0"/>
      <w:r>
        <w:rPr>
          <w:bCs/>
        </w:rPr>
        <w:t>Рабочий проект «Реконструкция кровли блока «А» нежилого здания АО «НПЦ «Вигстар» по адресу г. Москва, 1-й Дорожный проезд, д.8.» - на 26 л.</w:t>
      </w:r>
    </w:p>
    <w:p w:rsidR="002A2C4C" w:rsidRPr="000B153B" w:rsidRDefault="002A2C4C" w:rsidP="000B153B">
      <w:pPr>
        <w:spacing w:after="200" w:line="276" w:lineRule="auto"/>
        <w:rPr>
          <w:rFonts w:eastAsia="Calibri"/>
          <w:iCs/>
          <w:lang w:eastAsia="en-US"/>
        </w:rPr>
      </w:pPr>
    </w:p>
    <w:p w:rsidR="000B153B" w:rsidRPr="000B153B" w:rsidRDefault="000B153B" w:rsidP="000B153B">
      <w:pPr>
        <w:tabs>
          <w:tab w:val="left" w:pos="0"/>
        </w:tabs>
        <w:rPr>
          <w:rFonts w:eastAsia="Calibri"/>
          <w:lang w:eastAsia="en-US"/>
        </w:rPr>
      </w:pPr>
    </w:p>
    <w:p w:rsidR="000B153B" w:rsidRPr="000B153B" w:rsidRDefault="000B153B" w:rsidP="000B153B">
      <w:pPr>
        <w:tabs>
          <w:tab w:val="left" w:pos="0"/>
        </w:tabs>
        <w:jc w:val="right"/>
        <w:rPr>
          <w:rFonts w:eastAsia="Calibri"/>
          <w:lang w:eastAsia="en-US"/>
        </w:rPr>
      </w:pPr>
    </w:p>
    <w:p w:rsidR="000B153B" w:rsidRPr="0074451B" w:rsidRDefault="000B153B" w:rsidP="003C5DF3">
      <w:pPr>
        <w:rPr>
          <w:sz w:val="28"/>
          <w:szCs w:val="28"/>
        </w:rPr>
      </w:pPr>
    </w:p>
    <w:sectPr w:rsidR="000B153B" w:rsidRPr="0074451B" w:rsidSect="003C5DF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0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2" w:rsidRDefault="001520D2">
      <w:r>
        <w:separator/>
      </w:r>
    </w:p>
  </w:endnote>
  <w:endnote w:type="continuationSeparator" w:id="0">
    <w:p w:rsidR="001520D2" w:rsidRDefault="001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FC50A7" w:rsidP="00924224">
    <w:pPr>
      <w:pStyle w:val="ab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2" w:rsidRDefault="001520D2">
      <w:r>
        <w:separator/>
      </w:r>
    </w:p>
  </w:footnote>
  <w:footnote w:type="continuationSeparator" w:id="0">
    <w:p w:rsidR="001520D2" w:rsidRDefault="0015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9AC">
      <w:rPr>
        <w:rStyle w:val="a9"/>
      </w:rPr>
      <w:t>9</w: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9EDD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C41B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80D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CAD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429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7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0F5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906A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3B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A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  <w:sz w:val="16"/>
        <w:szCs w:val="16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593F22"/>
    <w:multiLevelType w:val="hybridMultilevel"/>
    <w:tmpl w:val="61B2520E"/>
    <w:lvl w:ilvl="0" w:tplc="81703B72">
      <w:start w:val="1"/>
      <w:numFmt w:val="decimal"/>
      <w:lvlText w:val="%1."/>
      <w:lvlJc w:val="left"/>
      <w:pPr>
        <w:tabs>
          <w:tab w:val="num" w:pos="2194"/>
        </w:tabs>
        <w:ind w:left="219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3521293"/>
    <w:multiLevelType w:val="multilevel"/>
    <w:tmpl w:val="68F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04AB31D6"/>
    <w:multiLevelType w:val="hybridMultilevel"/>
    <w:tmpl w:val="2714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120E0C"/>
    <w:multiLevelType w:val="multilevel"/>
    <w:tmpl w:val="09D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425BFD"/>
    <w:multiLevelType w:val="hybridMultilevel"/>
    <w:tmpl w:val="B8B6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2C45C8"/>
    <w:multiLevelType w:val="multilevel"/>
    <w:tmpl w:val="EAA2C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112150C9"/>
    <w:multiLevelType w:val="hybridMultilevel"/>
    <w:tmpl w:val="CDD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D13A84"/>
    <w:multiLevelType w:val="multilevel"/>
    <w:tmpl w:val="48B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7A7C96"/>
    <w:multiLevelType w:val="hybridMultilevel"/>
    <w:tmpl w:val="C08E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FE253D0"/>
    <w:multiLevelType w:val="hybridMultilevel"/>
    <w:tmpl w:val="27ECDE3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4" w15:restartNumberingAfterBreak="0">
    <w:nsid w:val="27D53FC5"/>
    <w:multiLevelType w:val="multilevel"/>
    <w:tmpl w:val="1ED8AD7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1"/>
        </w:tabs>
        <w:ind w:left="2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77"/>
        </w:tabs>
        <w:ind w:left="2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89"/>
        </w:tabs>
        <w:ind w:left="3389" w:hanging="1800"/>
      </w:pPr>
      <w:rPr>
        <w:rFonts w:hint="default"/>
      </w:rPr>
    </w:lvl>
  </w:abstractNum>
  <w:abstractNum w:abstractNumId="25" w15:restartNumberingAfterBreak="0">
    <w:nsid w:val="29D22658"/>
    <w:multiLevelType w:val="multilevel"/>
    <w:tmpl w:val="7BD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375495"/>
    <w:multiLevelType w:val="hybridMultilevel"/>
    <w:tmpl w:val="654EE2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3DF3532D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44AD51C5"/>
    <w:multiLevelType w:val="multilevel"/>
    <w:tmpl w:val="807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48"/>
        </w:tabs>
        <w:ind w:left="1148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6110756"/>
    <w:multiLevelType w:val="multilevel"/>
    <w:tmpl w:val="537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96568"/>
    <w:multiLevelType w:val="multilevel"/>
    <w:tmpl w:val="083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3310D6"/>
    <w:multiLevelType w:val="hybridMultilevel"/>
    <w:tmpl w:val="3EE664AE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0773D9"/>
    <w:multiLevelType w:val="hybridMultilevel"/>
    <w:tmpl w:val="C5B67BD8"/>
    <w:lvl w:ilvl="0" w:tplc="FFFFFFFF">
      <w:start w:val="1"/>
      <w:numFmt w:val="bullet"/>
      <w:pStyle w:val="10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B72E7F"/>
    <w:multiLevelType w:val="hybridMultilevel"/>
    <w:tmpl w:val="EACC4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90D4C"/>
    <w:multiLevelType w:val="hybridMultilevel"/>
    <w:tmpl w:val="07DE1E9A"/>
    <w:lvl w:ilvl="0" w:tplc="0419000F">
      <w:start w:val="1"/>
      <w:numFmt w:val="decimal"/>
      <w:pStyle w:val="Normalnumbered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D1D1F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 w15:restartNumberingAfterBreak="0">
    <w:nsid w:val="6CF70BC1"/>
    <w:multiLevelType w:val="multilevel"/>
    <w:tmpl w:val="EB605EC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E3C34A2"/>
    <w:multiLevelType w:val="hybridMultilevel"/>
    <w:tmpl w:val="7EE6DDFC"/>
    <w:lvl w:ilvl="0" w:tplc="FFFFFFFF">
      <w:start w:val="1"/>
      <w:numFmt w:val="upperRoman"/>
      <w:lvlText w:val="%1."/>
      <w:lvlJc w:val="right"/>
      <w:pPr>
        <w:tabs>
          <w:tab w:val="num" w:pos="3866"/>
        </w:tabs>
        <w:ind w:left="3866" w:hanging="180"/>
      </w:pPr>
      <w:rPr>
        <w:rFonts w:cs="Times New Roman" w:hint="default"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5306"/>
        </w:tabs>
        <w:ind w:left="4586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5306"/>
        </w:tabs>
        <w:ind w:left="53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6746"/>
        </w:tabs>
        <w:ind w:left="67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466"/>
        </w:tabs>
        <w:ind w:left="74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186"/>
        </w:tabs>
        <w:ind w:left="81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906"/>
        </w:tabs>
        <w:ind w:left="89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9626"/>
        </w:tabs>
        <w:ind w:left="9626" w:hanging="180"/>
      </w:pPr>
      <w:rPr>
        <w:rFonts w:cs="Times New Roman"/>
      </w:rPr>
    </w:lvl>
  </w:abstractNum>
  <w:abstractNum w:abstractNumId="40" w15:restartNumberingAfterBreak="0">
    <w:nsid w:val="71D01555"/>
    <w:multiLevelType w:val="hybridMultilevel"/>
    <w:tmpl w:val="35A42CAC"/>
    <w:lvl w:ilvl="0" w:tplc="586CAD3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ouvenir" w:hAnsi="Souveni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A07200"/>
    <w:multiLevelType w:val="hybridMultilevel"/>
    <w:tmpl w:val="6922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F154B"/>
    <w:multiLevelType w:val="hybridMultilevel"/>
    <w:tmpl w:val="407C4A80"/>
    <w:lvl w:ilvl="0" w:tplc="FFFFFFFF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4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9FB72E5"/>
    <w:multiLevelType w:val="hybridMultilevel"/>
    <w:tmpl w:val="330E1C1C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FB4B20"/>
    <w:multiLevelType w:val="hybridMultilevel"/>
    <w:tmpl w:val="78CA4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47" w15:restartNumberingAfterBreak="0">
    <w:nsid w:val="7F21751A"/>
    <w:multiLevelType w:val="hybridMultilevel"/>
    <w:tmpl w:val="F57AE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1"/>
  </w:num>
  <w:num w:numId="13">
    <w:abstractNumId w:val="22"/>
  </w:num>
  <w:num w:numId="14">
    <w:abstractNumId w:val="21"/>
  </w:num>
  <w:num w:numId="15">
    <w:abstractNumId w:val="38"/>
  </w:num>
  <w:num w:numId="16">
    <w:abstractNumId w:val="39"/>
  </w:num>
  <w:num w:numId="17">
    <w:abstractNumId w:val="44"/>
  </w:num>
  <w:num w:numId="18">
    <w:abstractNumId w:val="29"/>
  </w:num>
  <w:num w:numId="19">
    <w:abstractNumId w:val="14"/>
  </w:num>
  <w:num w:numId="20">
    <w:abstractNumId w:val="23"/>
  </w:num>
  <w:num w:numId="21">
    <w:abstractNumId w:val="16"/>
  </w:num>
  <w:num w:numId="22">
    <w:abstractNumId w:val="35"/>
  </w:num>
  <w:num w:numId="23">
    <w:abstractNumId w:val="36"/>
  </w:num>
  <w:num w:numId="24">
    <w:abstractNumId w:val="34"/>
  </w:num>
  <w:num w:numId="25">
    <w:abstractNumId w:val="33"/>
  </w:num>
  <w:num w:numId="26">
    <w:abstractNumId w:val="45"/>
  </w:num>
  <w:num w:numId="27">
    <w:abstractNumId w:val="12"/>
  </w:num>
  <w:num w:numId="28">
    <w:abstractNumId w:val="11"/>
  </w:num>
  <w:num w:numId="29">
    <w:abstractNumId w:val="17"/>
  </w:num>
  <w:num w:numId="30">
    <w:abstractNumId w:val="40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0"/>
  </w:num>
  <w:num w:numId="35">
    <w:abstractNumId w:val="27"/>
  </w:num>
  <w:num w:numId="36">
    <w:abstractNumId w:val="47"/>
  </w:num>
  <w:num w:numId="37">
    <w:abstractNumId w:val="26"/>
  </w:num>
  <w:num w:numId="38">
    <w:abstractNumId w:val="4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1"/>
  </w:num>
  <w:num w:numId="45">
    <w:abstractNumId w:val="28"/>
  </w:num>
  <w:num w:numId="46">
    <w:abstractNumId w:val="25"/>
  </w:num>
  <w:num w:numId="47">
    <w:abstractNumId w:val="32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9E"/>
    <w:rsid w:val="0002194D"/>
    <w:rsid w:val="0006039C"/>
    <w:rsid w:val="00071A75"/>
    <w:rsid w:val="00094BF7"/>
    <w:rsid w:val="000B153B"/>
    <w:rsid w:val="000B1612"/>
    <w:rsid w:val="000D6D43"/>
    <w:rsid w:val="000E1725"/>
    <w:rsid w:val="000E47D7"/>
    <w:rsid w:val="000E7A88"/>
    <w:rsid w:val="001321AF"/>
    <w:rsid w:val="00137B32"/>
    <w:rsid w:val="001520D2"/>
    <w:rsid w:val="00171C05"/>
    <w:rsid w:val="00175DA2"/>
    <w:rsid w:val="00177395"/>
    <w:rsid w:val="001961E1"/>
    <w:rsid w:val="00197425"/>
    <w:rsid w:val="001A0431"/>
    <w:rsid w:val="001A7B63"/>
    <w:rsid w:val="001C01AA"/>
    <w:rsid w:val="001E2A6D"/>
    <w:rsid w:val="001E462D"/>
    <w:rsid w:val="00205D7B"/>
    <w:rsid w:val="00217951"/>
    <w:rsid w:val="00233F84"/>
    <w:rsid w:val="00235FB6"/>
    <w:rsid w:val="00247B32"/>
    <w:rsid w:val="00261905"/>
    <w:rsid w:val="002839E3"/>
    <w:rsid w:val="00294D26"/>
    <w:rsid w:val="002A2C4C"/>
    <w:rsid w:val="002A6561"/>
    <w:rsid w:val="002C7E37"/>
    <w:rsid w:val="002D7E87"/>
    <w:rsid w:val="002E74D0"/>
    <w:rsid w:val="002F159C"/>
    <w:rsid w:val="002F24C0"/>
    <w:rsid w:val="00317020"/>
    <w:rsid w:val="00346296"/>
    <w:rsid w:val="003501EE"/>
    <w:rsid w:val="003A435F"/>
    <w:rsid w:val="003B722C"/>
    <w:rsid w:val="003C5DF3"/>
    <w:rsid w:val="00416789"/>
    <w:rsid w:val="0042621F"/>
    <w:rsid w:val="0043298D"/>
    <w:rsid w:val="00434065"/>
    <w:rsid w:val="00461160"/>
    <w:rsid w:val="004827F2"/>
    <w:rsid w:val="00496607"/>
    <w:rsid w:val="004B6923"/>
    <w:rsid w:val="004B7B5B"/>
    <w:rsid w:val="00510FC7"/>
    <w:rsid w:val="00512860"/>
    <w:rsid w:val="00522180"/>
    <w:rsid w:val="005242D7"/>
    <w:rsid w:val="0053220A"/>
    <w:rsid w:val="00573C33"/>
    <w:rsid w:val="00597FF7"/>
    <w:rsid w:val="005A1B29"/>
    <w:rsid w:val="005A4A75"/>
    <w:rsid w:val="005C339A"/>
    <w:rsid w:val="005E1146"/>
    <w:rsid w:val="005F1FE3"/>
    <w:rsid w:val="00646DE5"/>
    <w:rsid w:val="00647238"/>
    <w:rsid w:val="00664BBC"/>
    <w:rsid w:val="00675497"/>
    <w:rsid w:val="00676172"/>
    <w:rsid w:val="006948D0"/>
    <w:rsid w:val="00721D2C"/>
    <w:rsid w:val="007402AC"/>
    <w:rsid w:val="0074451B"/>
    <w:rsid w:val="007637E7"/>
    <w:rsid w:val="007678B8"/>
    <w:rsid w:val="00793209"/>
    <w:rsid w:val="007B610C"/>
    <w:rsid w:val="007C0C10"/>
    <w:rsid w:val="007C5254"/>
    <w:rsid w:val="007D09AD"/>
    <w:rsid w:val="007D5D93"/>
    <w:rsid w:val="0083620A"/>
    <w:rsid w:val="00836ECA"/>
    <w:rsid w:val="00850D6A"/>
    <w:rsid w:val="00867013"/>
    <w:rsid w:val="008929E0"/>
    <w:rsid w:val="008A4C8A"/>
    <w:rsid w:val="008C1488"/>
    <w:rsid w:val="008E0D75"/>
    <w:rsid w:val="008F061D"/>
    <w:rsid w:val="008F44B6"/>
    <w:rsid w:val="009130DB"/>
    <w:rsid w:val="0091559E"/>
    <w:rsid w:val="00924224"/>
    <w:rsid w:val="0092759B"/>
    <w:rsid w:val="00931B6F"/>
    <w:rsid w:val="00944196"/>
    <w:rsid w:val="00951FD6"/>
    <w:rsid w:val="0096659A"/>
    <w:rsid w:val="00970BF2"/>
    <w:rsid w:val="0097129D"/>
    <w:rsid w:val="00974AAB"/>
    <w:rsid w:val="00976B17"/>
    <w:rsid w:val="009866B4"/>
    <w:rsid w:val="009932C4"/>
    <w:rsid w:val="009A4C52"/>
    <w:rsid w:val="009C7DA0"/>
    <w:rsid w:val="009D6CFA"/>
    <w:rsid w:val="00A0158C"/>
    <w:rsid w:val="00A0333E"/>
    <w:rsid w:val="00A22ACD"/>
    <w:rsid w:val="00A2748F"/>
    <w:rsid w:val="00A376F5"/>
    <w:rsid w:val="00A45326"/>
    <w:rsid w:val="00A82347"/>
    <w:rsid w:val="00AA1462"/>
    <w:rsid w:val="00AB18E3"/>
    <w:rsid w:val="00AC46F3"/>
    <w:rsid w:val="00AD5BAF"/>
    <w:rsid w:val="00AF46B5"/>
    <w:rsid w:val="00B07875"/>
    <w:rsid w:val="00B279B0"/>
    <w:rsid w:val="00B31487"/>
    <w:rsid w:val="00B61EBB"/>
    <w:rsid w:val="00B629AC"/>
    <w:rsid w:val="00B7695B"/>
    <w:rsid w:val="00B83983"/>
    <w:rsid w:val="00BA4C80"/>
    <w:rsid w:val="00BA60D9"/>
    <w:rsid w:val="00BD2271"/>
    <w:rsid w:val="00C16979"/>
    <w:rsid w:val="00C26B19"/>
    <w:rsid w:val="00C53EA6"/>
    <w:rsid w:val="00C72194"/>
    <w:rsid w:val="00C85C76"/>
    <w:rsid w:val="00C93F2F"/>
    <w:rsid w:val="00CE5555"/>
    <w:rsid w:val="00D0519D"/>
    <w:rsid w:val="00D079A8"/>
    <w:rsid w:val="00D11C2D"/>
    <w:rsid w:val="00D22F0E"/>
    <w:rsid w:val="00D250B5"/>
    <w:rsid w:val="00D33421"/>
    <w:rsid w:val="00D45ECF"/>
    <w:rsid w:val="00D52368"/>
    <w:rsid w:val="00D63F81"/>
    <w:rsid w:val="00D671CB"/>
    <w:rsid w:val="00D84EF8"/>
    <w:rsid w:val="00D867C1"/>
    <w:rsid w:val="00D870E7"/>
    <w:rsid w:val="00DA530E"/>
    <w:rsid w:val="00DC2D5D"/>
    <w:rsid w:val="00DD3EA0"/>
    <w:rsid w:val="00DD4317"/>
    <w:rsid w:val="00E34647"/>
    <w:rsid w:val="00E77FE2"/>
    <w:rsid w:val="00EA1EDC"/>
    <w:rsid w:val="00EB6B74"/>
    <w:rsid w:val="00EC64E5"/>
    <w:rsid w:val="00ED6B59"/>
    <w:rsid w:val="00ED7749"/>
    <w:rsid w:val="00EF0128"/>
    <w:rsid w:val="00EF45A5"/>
    <w:rsid w:val="00F04720"/>
    <w:rsid w:val="00F10ED8"/>
    <w:rsid w:val="00F30C51"/>
    <w:rsid w:val="00F31931"/>
    <w:rsid w:val="00F46F9E"/>
    <w:rsid w:val="00F508F8"/>
    <w:rsid w:val="00F71F42"/>
    <w:rsid w:val="00FC50A7"/>
    <w:rsid w:val="00FC5600"/>
    <w:rsid w:val="00FE001D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8CCB6-0CE9-4F7B-8DD5-D4A9D31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63F8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qFormat/>
    <w:rsid w:val="00D63F81"/>
    <w:pPr>
      <w:keepNext/>
      <w:numPr>
        <w:numId w:val="1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qFormat/>
    <w:rsid w:val="00D63F81"/>
    <w:pPr>
      <w:keepNext/>
      <w:numPr>
        <w:ilvl w:val="1"/>
        <w:numId w:val="11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qFormat/>
    <w:rsid w:val="00D63F81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qFormat/>
    <w:rsid w:val="00D63F81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4"/>
    <w:next w:val="a4"/>
    <w:qFormat/>
    <w:rsid w:val="00D63F81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D63F81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D63F81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D63F81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1">
    <w:name w:val="Body Text Indent"/>
    <w:basedOn w:val="a4"/>
    <w:rsid w:val="00D63F81"/>
    <w:pPr>
      <w:numPr>
        <w:ilvl w:val="1"/>
        <w:numId w:val="14"/>
      </w:numPr>
      <w:spacing w:after="60"/>
      <w:jc w:val="both"/>
    </w:pPr>
    <w:rPr>
      <w:szCs w:val="20"/>
    </w:rPr>
  </w:style>
  <w:style w:type="paragraph" w:styleId="20">
    <w:name w:val="List Bullet 2"/>
    <w:basedOn w:val="a4"/>
    <w:autoRedefine/>
    <w:rsid w:val="00D63F81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D63F81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D63F81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D63F81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D63F81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D63F81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D63F81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D63F81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D63F81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D63F81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D63F81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D63F81"/>
    <w:pPr>
      <w:numPr>
        <w:numId w:val="14"/>
      </w:numPr>
      <w:spacing w:before="240" w:after="120"/>
      <w:jc w:val="both"/>
    </w:pPr>
    <w:rPr>
      <w:b/>
      <w:szCs w:val="20"/>
    </w:rPr>
  </w:style>
  <w:style w:type="paragraph" w:customStyle="1" w:styleId="11">
    <w:name w:val="Стиль1"/>
    <w:basedOn w:val="a4"/>
    <w:rsid w:val="00D63F81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rsid w:val="00D63F81"/>
    <w:pPr>
      <w:keepNext/>
      <w:keepLines/>
      <w:widowControl w:val="0"/>
      <w:numPr>
        <w:ilvl w:val="1"/>
        <w:numId w:val="15"/>
      </w:numPr>
      <w:suppressLineNumbers/>
      <w:tabs>
        <w:tab w:val="clear" w:pos="1836"/>
        <w:tab w:val="num" w:pos="567"/>
        <w:tab w:val="num" w:pos="1492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3"/>
    <w:rsid w:val="00D63F81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</w:style>
  <w:style w:type="paragraph" w:styleId="23">
    <w:name w:val="Body Text Indent 2"/>
    <w:aliases w:val="Знак"/>
    <w:basedOn w:val="a4"/>
    <w:rsid w:val="00D63F81"/>
    <w:pPr>
      <w:spacing w:after="120" w:line="480" w:lineRule="auto"/>
      <w:ind w:left="283"/>
      <w:jc w:val="both"/>
    </w:pPr>
    <w:rPr>
      <w:szCs w:val="20"/>
    </w:rPr>
  </w:style>
  <w:style w:type="paragraph" w:customStyle="1" w:styleId="a2">
    <w:name w:val="пункт"/>
    <w:basedOn w:val="a4"/>
    <w:rsid w:val="00D63F81"/>
    <w:pPr>
      <w:numPr>
        <w:ilvl w:val="2"/>
        <w:numId w:val="18"/>
      </w:numPr>
      <w:spacing w:before="60" w:after="60"/>
    </w:pPr>
  </w:style>
  <w:style w:type="paragraph" w:customStyle="1" w:styleId="Normalnumbered">
    <w:name w:val="Normal numbered"/>
    <w:basedOn w:val="a4"/>
    <w:rsid w:val="00D63F81"/>
    <w:pPr>
      <w:numPr>
        <w:numId w:val="23"/>
      </w:numPr>
      <w:spacing w:before="20" w:after="20" w:line="380" w:lineRule="exact"/>
    </w:pPr>
    <w:rPr>
      <w:sz w:val="22"/>
      <w:szCs w:val="20"/>
    </w:rPr>
  </w:style>
  <w:style w:type="paragraph" w:customStyle="1" w:styleId="10">
    <w:name w:val="Перечень 1"/>
    <w:basedOn w:val="a4"/>
    <w:rsid w:val="00D63F81"/>
    <w:pPr>
      <w:widowControl w:val="0"/>
      <w:numPr>
        <w:numId w:val="24"/>
      </w:numPr>
      <w:suppressAutoHyphens/>
      <w:jc w:val="both"/>
    </w:pPr>
    <w:rPr>
      <w:snapToGrid w:val="0"/>
    </w:rPr>
  </w:style>
  <w:style w:type="character" w:customStyle="1" w:styleId="12">
    <w:name w:val="Заголовок 1 Знак"/>
    <w:aliases w:val="Document Header1 Знак"/>
    <w:basedOn w:val="a5"/>
    <w:rsid w:val="00D63F81"/>
    <w:rPr>
      <w:rFonts w:cs="Times New Roman"/>
      <w:b/>
      <w:kern w:val="28"/>
      <w:sz w:val="36"/>
      <w:lang w:val="ru-RU" w:eastAsia="ru-RU" w:bidi="ar-SA"/>
    </w:rPr>
  </w:style>
  <w:style w:type="paragraph" w:customStyle="1" w:styleId="ConsNormal">
    <w:name w:val="ConsNormal"/>
    <w:semiHidden/>
    <w:rsid w:val="00D63F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Таблица шапка"/>
    <w:basedOn w:val="a4"/>
    <w:rsid w:val="00D63F81"/>
    <w:pPr>
      <w:keepNext/>
      <w:spacing w:before="40" w:after="40"/>
      <w:ind w:left="57" w:right="57"/>
    </w:pPr>
    <w:rPr>
      <w:sz w:val="18"/>
      <w:szCs w:val="18"/>
    </w:rPr>
  </w:style>
  <w:style w:type="character" w:styleId="a9">
    <w:name w:val="page number"/>
    <w:basedOn w:val="a5"/>
    <w:rsid w:val="00D63F81"/>
    <w:rPr>
      <w:rFonts w:ascii="Times New Roman" w:hAnsi="Times New Roman" w:cs="Times New Roman"/>
    </w:rPr>
  </w:style>
  <w:style w:type="paragraph" w:styleId="aa">
    <w:name w:val="header"/>
    <w:basedOn w:val="a4"/>
    <w:rsid w:val="00D63F81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b">
    <w:name w:val="footer"/>
    <w:basedOn w:val="a4"/>
    <w:rsid w:val="00D63F8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table" w:styleId="ac">
    <w:name w:val="Table Grid"/>
    <w:basedOn w:val="a6"/>
    <w:rsid w:val="00F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4"/>
    <w:rsid w:val="00B279B0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B279B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1">
    <w:name w:val="Font Style11"/>
    <w:basedOn w:val="a5"/>
    <w:rsid w:val="00B279B0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4"/>
    <w:uiPriority w:val="99"/>
    <w:unhideWhenUsed/>
    <w:rsid w:val="0053220A"/>
    <w:pPr>
      <w:spacing w:before="100" w:beforeAutospacing="1" w:after="100" w:afterAutospacing="1"/>
    </w:pPr>
  </w:style>
  <w:style w:type="character" w:styleId="af">
    <w:name w:val="Emphasis"/>
    <w:basedOn w:val="a5"/>
    <w:uiPriority w:val="20"/>
    <w:qFormat/>
    <w:rsid w:val="0053220A"/>
    <w:rPr>
      <w:i/>
      <w:iCs/>
    </w:rPr>
  </w:style>
  <w:style w:type="character" w:styleId="af0">
    <w:name w:val="Strong"/>
    <w:basedOn w:val="a5"/>
    <w:uiPriority w:val="22"/>
    <w:qFormat/>
    <w:rsid w:val="0053220A"/>
    <w:rPr>
      <w:b/>
      <w:bCs/>
    </w:rPr>
  </w:style>
  <w:style w:type="paragraph" w:styleId="af1">
    <w:name w:val="Balloon Text"/>
    <w:basedOn w:val="a4"/>
    <w:link w:val="af2"/>
    <w:rsid w:val="00EB6B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rsid w:val="00EB6B74"/>
    <w:rPr>
      <w:rFonts w:ascii="Tahoma" w:hAnsi="Tahoma" w:cs="Tahoma"/>
      <w:sz w:val="16"/>
      <w:szCs w:val="16"/>
    </w:rPr>
  </w:style>
  <w:style w:type="paragraph" w:styleId="af3">
    <w:name w:val="List Paragraph"/>
    <w:basedOn w:val="a4"/>
    <w:uiPriority w:val="34"/>
    <w:qFormat/>
    <w:rsid w:val="0074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Вигстар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Tishkov</dc:creator>
  <cp:lastModifiedBy>Кристина Кебурия</cp:lastModifiedBy>
  <cp:revision>14</cp:revision>
  <cp:lastPrinted>2016-06-14T14:04:00Z</cp:lastPrinted>
  <dcterms:created xsi:type="dcterms:W3CDTF">2016-06-14T13:07:00Z</dcterms:created>
  <dcterms:modified xsi:type="dcterms:W3CDTF">2016-08-01T15:01:00Z</dcterms:modified>
</cp:coreProperties>
</file>